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D5" w:rsidRPr="00BE3C29" w:rsidRDefault="00BE54D5" w:rsidP="00BE54D5">
      <w:pPr>
        <w:pStyle w:val="PlainText"/>
        <w:rPr>
          <w:rFonts w:ascii="Century" w:eastAsiaTheme="minorEastAsia" w:hAnsi="Century"/>
          <w:noProof/>
          <w:sz w:val="24"/>
          <w:szCs w:val="24"/>
        </w:rPr>
      </w:pPr>
      <w:r>
        <w:rPr>
          <w:rFonts w:ascii="Helvetica" w:hAnsi="Helvetica" w:cs="Helvetica"/>
          <w:noProof/>
          <w:color w:val="000000"/>
        </w:rPr>
        <w:drawing>
          <wp:anchor distT="0" distB="0" distL="114300" distR="114300" simplePos="0" relativeHeight="251658240" behindDoc="1" locked="0" layoutInCell="1" allowOverlap="1">
            <wp:simplePos x="0" y="0"/>
            <wp:positionH relativeFrom="column">
              <wp:posOffset>3286125</wp:posOffset>
            </wp:positionH>
            <wp:positionV relativeFrom="paragraph">
              <wp:posOffset>0</wp:posOffset>
            </wp:positionV>
            <wp:extent cx="2581275" cy="3873939"/>
            <wp:effectExtent l="0" t="0" r="0" b="0"/>
            <wp:wrapTight wrapText="bothSides">
              <wp:wrapPolygon edited="0">
                <wp:start x="0" y="0"/>
                <wp:lineTo x="0" y="21458"/>
                <wp:lineTo x="21361" y="21458"/>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1275" cy="3873939"/>
                    </a:xfrm>
                    <a:prstGeom prst="rect">
                      <a:avLst/>
                    </a:prstGeom>
                  </pic:spPr>
                </pic:pic>
              </a:graphicData>
            </a:graphic>
          </wp:anchor>
        </w:drawing>
      </w:r>
      <w:r w:rsidRPr="00BE3C29">
        <w:rPr>
          <w:rFonts w:ascii="Century" w:eastAsiaTheme="minorEastAsia" w:hAnsi="Century"/>
          <w:b/>
          <w:bCs/>
          <w:noProof/>
          <w:sz w:val="24"/>
          <w:szCs w:val="24"/>
        </w:rPr>
        <w:t>Kristina M. Stanger</w:t>
      </w:r>
      <w:r w:rsidRPr="00BE3C29">
        <w:rPr>
          <w:rFonts w:ascii="Century" w:eastAsiaTheme="minorEastAsia" w:hAnsi="Century"/>
          <w:bCs/>
          <w:noProof/>
          <w:sz w:val="24"/>
          <w:szCs w:val="24"/>
        </w:rPr>
        <w:br/>
      </w:r>
      <w:r w:rsidRPr="00BE3C29">
        <w:rPr>
          <w:rFonts w:ascii="Century" w:eastAsiaTheme="minorEastAsia" w:hAnsi="Century"/>
          <w:noProof/>
          <w:sz w:val="24"/>
          <w:szCs w:val="24"/>
        </w:rPr>
        <w:t>Attorney/Shareholder</w:t>
      </w:r>
    </w:p>
    <w:p w:rsidR="00BE54D5" w:rsidRPr="00BE3C29" w:rsidRDefault="00BE54D5" w:rsidP="00BE54D5">
      <w:pPr>
        <w:pStyle w:val="PlainText"/>
        <w:rPr>
          <w:rFonts w:ascii="Century" w:eastAsiaTheme="minorEastAsia" w:hAnsi="Century"/>
          <w:noProof/>
          <w:sz w:val="24"/>
          <w:szCs w:val="24"/>
        </w:rPr>
      </w:pPr>
      <w:r w:rsidRPr="00BE3C29">
        <w:rPr>
          <w:rFonts w:ascii="Century" w:eastAsiaTheme="minorEastAsia" w:hAnsi="Century"/>
          <w:noProof/>
          <w:sz w:val="24"/>
          <w:szCs w:val="24"/>
        </w:rPr>
        <w:t>Nyemaster Goode, P.C.</w:t>
      </w:r>
    </w:p>
    <w:p w:rsidR="00BE54D5" w:rsidRPr="00BE3C29" w:rsidRDefault="00BE54D5" w:rsidP="00BE54D5">
      <w:pPr>
        <w:pStyle w:val="PlainText"/>
        <w:rPr>
          <w:rFonts w:ascii="Century" w:eastAsiaTheme="minorEastAsia" w:hAnsi="Century"/>
          <w:noProof/>
          <w:sz w:val="24"/>
          <w:szCs w:val="24"/>
        </w:rPr>
      </w:pPr>
      <w:r w:rsidRPr="00BE3C29">
        <w:rPr>
          <w:rFonts w:ascii="Century" w:eastAsiaTheme="minorEastAsia" w:hAnsi="Century"/>
          <w:noProof/>
          <w:sz w:val="24"/>
          <w:szCs w:val="24"/>
        </w:rPr>
        <w:t>700 Walnut Street, Suite 1600</w:t>
      </w:r>
    </w:p>
    <w:p w:rsidR="00BE54D5" w:rsidRPr="00BE3C29" w:rsidRDefault="00BE54D5" w:rsidP="00BE54D5">
      <w:pPr>
        <w:pStyle w:val="PlainText"/>
        <w:rPr>
          <w:rFonts w:ascii="Century" w:eastAsiaTheme="minorEastAsia" w:hAnsi="Century"/>
          <w:noProof/>
          <w:sz w:val="24"/>
          <w:szCs w:val="24"/>
        </w:rPr>
      </w:pPr>
      <w:r w:rsidRPr="00BE3C29">
        <w:rPr>
          <w:rFonts w:ascii="Century" w:eastAsiaTheme="minorEastAsia" w:hAnsi="Century"/>
          <w:noProof/>
          <w:sz w:val="24"/>
          <w:szCs w:val="24"/>
        </w:rPr>
        <w:t>Des Moines, IA 50309</w:t>
      </w:r>
      <w:r w:rsidRPr="00BE3C29">
        <w:rPr>
          <w:rFonts w:ascii="Century" w:eastAsiaTheme="minorEastAsia" w:hAnsi="Century"/>
          <w:bCs/>
          <w:noProof/>
          <w:sz w:val="24"/>
          <w:szCs w:val="24"/>
        </w:rPr>
        <w:br/>
      </w:r>
      <w:r w:rsidRPr="00BE3C29">
        <w:rPr>
          <w:rFonts w:ascii="Century" w:eastAsiaTheme="minorEastAsia" w:hAnsi="Century"/>
          <w:noProof/>
          <w:sz w:val="24"/>
          <w:szCs w:val="24"/>
        </w:rPr>
        <w:t>(T) 515.283.8009</w:t>
      </w:r>
    </w:p>
    <w:p w:rsidR="00BE54D5" w:rsidRPr="00BE3C29" w:rsidRDefault="00BE54D5" w:rsidP="00BE54D5">
      <w:pPr>
        <w:pStyle w:val="PlainText"/>
        <w:rPr>
          <w:rFonts w:ascii="Century" w:eastAsiaTheme="minorEastAsia" w:hAnsi="Century"/>
          <w:noProof/>
          <w:sz w:val="24"/>
          <w:szCs w:val="24"/>
        </w:rPr>
      </w:pPr>
      <w:hyperlink r:id="rId5" w:history="1">
        <w:r w:rsidRPr="00BE3C29">
          <w:rPr>
            <w:rStyle w:val="Hyperlink"/>
            <w:rFonts w:ascii="Century" w:eastAsiaTheme="minorEastAsia" w:hAnsi="Century"/>
            <w:noProof/>
            <w:sz w:val="24"/>
            <w:szCs w:val="24"/>
          </w:rPr>
          <w:t>kmstanger@nyemaster.com</w:t>
        </w:r>
      </w:hyperlink>
      <w:r w:rsidRPr="00BE3C29">
        <w:rPr>
          <w:rFonts w:ascii="Century" w:eastAsiaTheme="minorEastAsia" w:hAnsi="Century"/>
          <w:noProof/>
          <w:sz w:val="24"/>
          <w:szCs w:val="24"/>
        </w:rPr>
        <w:t xml:space="preserve"> </w:t>
      </w:r>
    </w:p>
    <w:p w:rsidR="00BE54D5" w:rsidRDefault="00BE54D5" w:rsidP="00BE54D5">
      <w:pPr>
        <w:pStyle w:val="NormalWeb"/>
        <w:shd w:val="clear" w:color="auto" w:fill="FFFFFF"/>
        <w:spacing w:before="0" w:beforeAutospacing="0" w:after="150" w:afterAutospacing="0" w:line="330" w:lineRule="atLeast"/>
        <w:rPr>
          <w:rStyle w:val="Hyperlink"/>
          <w:rFonts w:ascii="Century" w:eastAsiaTheme="minorEastAsia" w:hAnsi="Century"/>
          <w:noProof/>
        </w:rPr>
      </w:pPr>
      <w:hyperlink r:id="rId6" w:history="1">
        <w:r w:rsidRPr="00BE3C29">
          <w:rPr>
            <w:rStyle w:val="Hyperlink"/>
            <w:rFonts w:ascii="Century" w:eastAsiaTheme="minorEastAsia" w:hAnsi="Century"/>
            <w:noProof/>
          </w:rPr>
          <w:t>www.nyemaster.com</w:t>
        </w:r>
      </w:hyperlink>
    </w:p>
    <w:p w:rsidR="00BE54D5" w:rsidRDefault="00BE54D5" w:rsidP="00BE54D5">
      <w:pPr>
        <w:pStyle w:val="NormalWeb"/>
        <w:shd w:val="clear" w:color="auto" w:fill="FFFFFF"/>
        <w:spacing w:before="0" w:beforeAutospacing="0" w:after="150" w:afterAutospacing="0" w:line="330" w:lineRule="atLeast"/>
        <w:rPr>
          <w:rFonts w:ascii="Helvetica" w:hAnsi="Helvetica" w:cs="Helvetica"/>
          <w:color w:val="000000"/>
        </w:rPr>
      </w:pPr>
    </w:p>
    <w:p w:rsidR="001667DE" w:rsidRDefault="001667DE" w:rsidP="001667DE">
      <w:pPr>
        <w:pStyle w:val="NormalWeb"/>
        <w:shd w:val="clear" w:color="auto" w:fill="FFFFFF"/>
        <w:spacing w:before="0" w:beforeAutospacing="0" w:after="150" w:afterAutospacing="0" w:line="330" w:lineRule="atLeast"/>
        <w:rPr>
          <w:rFonts w:ascii="Helvetica" w:hAnsi="Helvetica" w:cs="Helvetica"/>
          <w:color w:val="000000"/>
        </w:rPr>
      </w:pPr>
      <w:r>
        <w:rPr>
          <w:rFonts w:ascii="Helvetica" w:hAnsi="Helvetica" w:cs="Helvetica"/>
          <w:color w:val="000000"/>
        </w:rPr>
        <w:t>KRISTINA is an attorney and shareholder and focuses her practice on creditors’ rights and bankruptcy. Her experience spans such industries as retail, grocery, agriculture, health care, construction, transportation and manufacturing. She appears in both federal and state courts for secured and unsecured creditors in a variety of contexts.</w:t>
      </w:r>
    </w:p>
    <w:p w:rsidR="001667DE" w:rsidRDefault="001667DE" w:rsidP="001667DE">
      <w:pPr>
        <w:pStyle w:val="NormalWeb"/>
        <w:shd w:val="clear" w:color="auto" w:fill="FFFFFF"/>
        <w:spacing w:before="0" w:beforeAutospacing="0" w:after="150" w:afterAutospacing="0" w:line="330" w:lineRule="atLeast"/>
        <w:rPr>
          <w:rFonts w:ascii="Helvetica" w:hAnsi="Helvetica" w:cs="Helvetica"/>
          <w:color w:val="000000"/>
        </w:rPr>
      </w:pPr>
      <w:r>
        <w:rPr>
          <w:rFonts w:ascii="Helvetica" w:hAnsi="Helvetica" w:cs="Helvetica"/>
          <w:color w:val="000000"/>
        </w:rPr>
        <w:t>In addition to her legal practice, Kristina is a combat-experienced Lieutenant Colonel in the Iowa Army National Guard and a 2017 AMEDD Iron Major. She has served more than 20 years as an enlisted soldier, commander and planner for state, national and international operations. She now serves as one of the state’s highest-ranking females and is the Chief of Plans and Operations for the Iowa Army National Guard.</w:t>
      </w:r>
    </w:p>
    <w:p w:rsidR="001667DE" w:rsidRDefault="001667DE" w:rsidP="001667DE">
      <w:pPr>
        <w:pStyle w:val="NormalWeb"/>
        <w:shd w:val="clear" w:color="auto" w:fill="FFFFFF"/>
        <w:spacing w:before="0" w:beforeAutospacing="0" w:after="150" w:afterAutospacing="0" w:line="330" w:lineRule="atLeast"/>
        <w:rPr>
          <w:rFonts w:ascii="Helvetica" w:hAnsi="Helvetica" w:cs="Helvetica"/>
          <w:color w:val="000000"/>
        </w:rPr>
      </w:pPr>
      <w:r>
        <w:rPr>
          <w:rFonts w:ascii="Helvetica" w:hAnsi="Helvetica" w:cs="Helvetica"/>
          <w:color w:val="000000"/>
        </w:rPr>
        <w:t>Kristina’s upbringing off the gravel roads of rural Iowa and her military experience helped develop her work ethic, which led to her success as an experienced commercial litigator at Iowa’s largest law firm. In addition, she has held a number of committee positions with the Iowa State Bar Association, is an author and speaker on bankruptcy and commercial law topics, and provides pro bono services on behalf of veterans and their families. She also was a member of the 2016 Next Generation Class for the National Conference of Ba</w:t>
      </w:r>
      <w:r>
        <w:rPr>
          <w:rFonts w:ascii="Helvetica" w:hAnsi="Helvetica" w:cs="Helvetica"/>
          <w:color w:val="000000"/>
        </w:rPr>
        <w:t xml:space="preserve">nkruptcy Judges (NCBJ), a 2018 American Bankruptcy Institute 40 Under 40 Honoree, and is the IWIRC Midwest Network Chair. </w:t>
      </w:r>
    </w:p>
    <w:p w:rsidR="001667DE" w:rsidRDefault="001667DE" w:rsidP="001667DE">
      <w:pPr>
        <w:pStyle w:val="NormalWeb"/>
        <w:shd w:val="clear" w:color="auto" w:fill="FFFFFF"/>
        <w:spacing w:before="0" w:beforeAutospacing="0" w:after="150" w:afterAutospacing="0" w:line="330" w:lineRule="atLeast"/>
        <w:rPr>
          <w:rFonts w:ascii="Helvetica" w:hAnsi="Helvetica" w:cs="Helvetica"/>
          <w:color w:val="000000"/>
        </w:rPr>
      </w:pPr>
    </w:p>
    <w:p w:rsidR="001667DE" w:rsidRPr="001667DE" w:rsidRDefault="001667DE" w:rsidP="001667DE">
      <w:pPr>
        <w:spacing w:after="75" w:line="450" w:lineRule="atLeast"/>
        <w:outlineLvl w:val="1"/>
        <w:rPr>
          <w:rFonts w:ascii="Arial" w:eastAsia="Times New Roman" w:hAnsi="Arial" w:cs="Arial"/>
          <w:caps/>
          <w:color w:val="1A2C4D"/>
          <w:sz w:val="32"/>
          <w:szCs w:val="32"/>
        </w:rPr>
      </w:pPr>
      <w:r w:rsidRPr="001667DE">
        <w:rPr>
          <w:rFonts w:ascii="Arial" w:eastAsia="Times New Roman" w:hAnsi="Arial" w:cs="Arial"/>
          <w:caps/>
          <w:color w:val="1A2C4D"/>
          <w:sz w:val="32"/>
          <w:szCs w:val="32"/>
        </w:rPr>
        <w:t>PRACTICE AREAS</w:t>
      </w:r>
    </w:p>
    <w:p w:rsidR="001667DE" w:rsidRPr="001667DE" w:rsidRDefault="001667DE" w:rsidP="001667DE">
      <w:pPr>
        <w:spacing w:after="0" w:line="240" w:lineRule="auto"/>
        <w:rPr>
          <w:rFonts w:ascii="Arial" w:eastAsia="Times New Roman" w:hAnsi="Arial" w:cs="Arial"/>
          <w:color w:val="1A2C4D"/>
          <w:sz w:val="21"/>
          <w:szCs w:val="21"/>
        </w:rPr>
      </w:pPr>
      <w:hyperlink r:id="rId7" w:tooltip="View this practice area" w:history="1">
        <w:r w:rsidRPr="001667DE">
          <w:rPr>
            <w:rFonts w:ascii="Arial" w:eastAsia="Times New Roman" w:hAnsi="Arial" w:cs="Arial"/>
            <w:color w:val="1A2C4D"/>
            <w:sz w:val="21"/>
            <w:szCs w:val="21"/>
            <w:u w:val="single"/>
          </w:rPr>
          <w:t>Construction and Real Estate Litigation </w:t>
        </w:r>
      </w:hyperlink>
      <w:r w:rsidRPr="001667DE">
        <w:rPr>
          <w:rFonts w:ascii="Arial" w:eastAsia="Times New Roman" w:hAnsi="Arial" w:cs="Arial"/>
          <w:color w:val="1A2C4D"/>
          <w:sz w:val="21"/>
          <w:szCs w:val="21"/>
        </w:rPr>
        <w:br/>
      </w:r>
      <w:hyperlink r:id="rId8" w:tooltip="View this practice area" w:history="1">
        <w:r w:rsidRPr="001667DE">
          <w:rPr>
            <w:rFonts w:ascii="Arial" w:eastAsia="Times New Roman" w:hAnsi="Arial" w:cs="Arial"/>
            <w:color w:val="1A2C4D"/>
            <w:sz w:val="21"/>
            <w:szCs w:val="21"/>
            <w:u w:val="single"/>
          </w:rPr>
          <w:t>Creditor Rights and Bankruptcy </w:t>
        </w:r>
      </w:hyperlink>
      <w:r w:rsidRPr="001667DE">
        <w:rPr>
          <w:rFonts w:ascii="Arial" w:eastAsia="Times New Roman" w:hAnsi="Arial" w:cs="Arial"/>
          <w:color w:val="1A2C4D"/>
          <w:sz w:val="21"/>
          <w:szCs w:val="21"/>
        </w:rPr>
        <w:br/>
      </w:r>
      <w:hyperlink r:id="rId9" w:tooltip="View this practice area" w:history="1">
        <w:r w:rsidRPr="001667DE">
          <w:rPr>
            <w:rFonts w:ascii="Arial" w:eastAsia="Times New Roman" w:hAnsi="Arial" w:cs="Arial"/>
            <w:color w:val="1A2C4D"/>
            <w:sz w:val="21"/>
            <w:szCs w:val="21"/>
            <w:u w:val="single"/>
          </w:rPr>
          <w:t>Litigation </w:t>
        </w:r>
      </w:hyperlink>
      <w:r w:rsidRPr="001667DE">
        <w:rPr>
          <w:rFonts w:ascii="Arial" w:eastAsia="Times New Roman" w:hAnsi="Arial" w:cs="Arial"/>
          <w:color w:val="1A2C4D"/>
          <w:sz w:val="21"/>
          <w:szCs w:val="21"/>
        </w:rPr>
        <w:br/>
      </w:r>
      <w:hyperlink r:id="rId10" w:tooltip="View this practice area" w:history="1">
        <w:r w:rsidRPr="001667DE">
          <w:rPr>
            <w:rFonts w:ascii="Arial" w:eastAsia="Times New Roman" w:hAnsi="Arial" w:cs="Arial"/>
            <w:color w:val="1A2C4D"/>
            <w:sz w:val="21"/>
            <w:szCs w:val="21"/>
            <w:u w:val="single"/>
          </w:rPr>
          <w:t>Banks and Financial Institution Litigation </w:t>
        </w:r>
      </w:hyperlink>
      <w:r w:rsidRPr="001667DE">
        <w:rPr>
          <w:rFonts w:ascii="Arial" w:eastAsia="Times New Roman" w:hAnsi="Arial" w:cs="Arial"/>
          <w:color w:val="1A2C4D"/>
          <w:sz w:val="21"/>
          <w:szCs w:val="21"/>
        </w:rPr>
        <w:br/>
      </w:r>
      <w:hyperlink r:id="rId11" w:tooltip="View this practice area" w:history="1">
        <w:r w:rsidRPr="001667DE">
          <w:rPr>
            <w:rFonts w:ascii="Arial" w:eastAsia="Times New Roman" w:hAnsi="Arial" w:cs="Arial"/>
            <w:color w:val="1A2C4D"/>
            <w:sz w:val="21"/>
            <w:szCs w:val="21"/>
            <w:u w:val="single"/>
          </w:rPr>
          <w:t>Business and Commercial Litigation </w:t>
        </w:r>
      </w:hyperlink>
    </w:p>
    <w:p w:rsidR="001667DE" w:rsidRPr="001667DE" w:rsidRDefault="001667DE" w:rsidP="001667DE">
      <w:pPr>
        <w:spacing w:after="75" w:line="450" w:lineRule="atLeast"/>
        <w:outlineLvl w:val="1"/>
        <w:rPr>
          <w:rFonts w:ascii="Arial" w:eastAsia="Times New Roman" w:hAnsi="Arial" w:cs="Arial"/>
          <w:caps/>
          <w:color w:val="1A2C4D"/>
          <w:sz w:val="32"/>
          <w:szCs w:val="32"/>
        </w:rPr>
      </w:pPr>
      <w:r w:rsidRPr="001667DE">
        <w:rPr>
          <w:rFonts w:ascii="Arial" w:eastAsia="Times New Roman" w:hAnsi="Arial" w:cs="Arial"/>
          <w:caps/>
          <w:color w:val="1A2C4D"/>
          <w:sz w:val="32"/>
          <w:szCs w:val="32"/>
        </w:rPr>
        <w:lastRenderedPageBreak/>
        <w:t>EDUCATION</w:t>
      </w:r>
    </w:p>
    <w:p w:rsidR="001667DE" w:rsidRPr="001667DE" w:rsidRDefault="001667DE" w:rsidP="001667DE">
      <w:pPr>
        <w:spacing w:after="0" w:line="240" w:lineRule="auto"/>
        <w:rPr>
          <w:rFonts w:ascii="Arial" w:eastAsia="Times New Roman" w:hAnsi="Arial" w:cs="Arial"/>
          <w:color w:val="1A2C4D"/>
          <w:sz w:val="21"/>
          <w:szCs w:val="21"/>
        </w:rPr>
      </w:pPr>
      <w:r w:rsidRPr="001667DE">
        <w:rPr>
          <w:rFonts w:ascii="Arial" w:eastAsia="Times New Roman" w:hAnsi="Arial" w:cs="Arial"/>
          <w:color w:val="1A2C4D"/>
          <w:sz w:val="21"/>
          <w:szCs w:val="21"/>
        </w:rPr>
        <w:t>U.S. Army Command and General Staff College (</w:t>
      </w:r>
      <w:r w:rsidR="00BE54D5">
        <w:rPr>
          <w:rFonts w:ascii="Arial" w:eastAsia="Times New Roman" w:hAnsi="Arial" w:cs="Arial"/>
          <w:color w:val="1A2C4D"/>
          <w:sz w:val="21"/>
          <w:szCs w:val="21"/>
        </w:rPr>
        <w:t>2014</w:t>
      </w:r>
      <w:r w:rsidRPr="001667DE">
        <w:rPr>
          <w:rFonts w:ascii="Arial" w:eastAsia="Times New Roman" w:hAnsi="Arial" w:cs="Arial"/>
          <w:color w:val="1A2C4D"/>
          <w:sz w:val="21"/>
          <w:szCs w:val="21"/>
        </w:rPr>
        <w:t>)</w:t>
      </w:r>
    </w:p>
    <w:p w:rsidR="001667DE" w:rsidRPr="001667DE" w:rsidRDefault="001667DE" w:rsidP="001667DE">
      <w:pPr>
        <w:spacing w:after="0" w:line="240" w:lineRule="auto"/>
        <w:rPr>
          <w:rFonts w:ascii="Arial" w:eastAsia="Times New Roman" w:hAnsi="Arial" w:cs="Arial"/>
          <w:color w:val="1A2C4D"/>
          <w:sz w:val="21"/>
          <w:szCs w:val="21"/>
        </w:rPr>
      </w:pPr>
      <w:r w:rsidRPr="001667DE">
        <w:rPr>
          <w:rFonts w:ascii="Arial" w:eastAsia="Times New Roman" w:hAnsi="Arial" w:cs="Arial"/>
          <w:color w:val="1A2C4D"/>
          <w:sz w:val="21"/>
          <w:szCs w:val="21"/>
        </w:rPr>
        <w:t>185th Military Regional Training Institute (Officer Candidate School, distinguished honor graduate, 2000)</w:t>
      </w:r>
    </w:p>
    <w:p w:rsidR="001667DE" w:rsidRPr="001667DE" w:rsidRDefault="001667DE" w:rsidP="001667DE">
      <w:pPr>
        <w:spacing w:after="0" w:line="240" w:lineRule="auto"/>
        <w:rPr>
          <w:rFonts w:ascii="Arial" w:eastAsia="Times New Roman" w:hAnsi="Arial" w:cs="Arial"/>
          <w:color w:val="1A2C4D"/>
          <w:sz w:val="21"/>
          <w:szCs w:val="21"/>
        </w:rPr>
      </w:pPr>
      <w:r w:rsidRPr="001667DE">
        <w:rPr>
          <w:rFonts w:ascii="Arial" w:eastAsia="Times New Roman" w:hAnsi="Arial" w:cs="Arial"/>
          <w:color w:val="1A2C4D"/>
          <w:sz w:val="21"/>
          <w:szCs w:val="21"/>
        </w:rPr>
        <w:t>Central College (B.A., magna cum laude, 2000)</w:t>
      </w:r>
    </w:p>
    <w:p w:rsidR="001667DE" w:rsidRDefault="001667DE" w:rsidP="001667DE">
      <w:pPr>
        <w:spacing w:after="0" w:line="240" w:lineRule="auto"/>
        <w:rPr>
          <w:rFonts w:ascii="Arial" w:eastAsia="Times New Roman" w:hAnsi="Arial" w:cs="Arial"/>
          <w:color w:val="1A2C4D"/>
          <w:sz w:val="21"/>
          <w:szCs w:val="21"/>
        </w:rPr>
      </w:pPr>
      <w:r w:rsidRPr="001667DE">
        <w:rPr>
          <w:rFonts w:ascii="Arial" w:eastAsia="Times New Roman" w:hAnsi="Arial" w:cs="Arial"/>
          <w:color w:val="1A2C4D"/>
          <w:sz w:val="21"/>
          <w:szCs w:val="21"/>
        </w:rPr>
        <w:t>Drake University (J.D., with high honors, 2006)</w:t>
      </w:r>
    </w:p>
    <w:p w:rsidR="00BE54D5" w:rsidRPr="001667DE" w:rsidRDefault="00BE54D5" w:rsidP="001667DE">
      <w:pPr>
        <w:spacing w:after="0" w:line="240" w:lineRule="auto"/>
        <w:rPr>
          <w:rFonts w:ascii="Arial" w:eastAsia="Times New Roman" w:hAnsi="Arial" w:cs="Arial"/>
          <w:color w:val="1A2C4D"/>
          <w:sz w:val="21"/>
          <w:szCs w:val="21"/>
        </w:rPr>
      </w:pPr>
    </w:p>
    <w:p w:rsidR="001667DE" w:rsidRPr="001667DE" w:rsidRDefault="001667DE" w:rsidP="001667DE">
      <w:pPr>
        <w:spacing w:after="0" w:line="240" w:lineRule="auto"/>
        <w:outlineLvl w:val="1"/>
        <w:rPr>
          <w:rFonts w:ascii="Arial" w:eastAsia="Times New Roman" w:hAnsi="Arial" w:cs="Arial"/>
          <w:caps/>
          <w:color w:val="1A2C4D"/>
          <w:sz w:val="32"/>
          <w:szCs w:val="32"/>
        </w:rPr>
      </w:pPr>
      <w:r w:rsidRPr="001667DE">
        <w:rPr>
          <w:rFonts w:ascii="Arial" w:eastAsia="Times New Roman" w:hAnsi="Arial" w:cs="Arial"/>
          <w:caps/>
          <w:color w:val="1A2C4D"/>
          <w:sz w:val="32"/>
          <w:szCs w:val="32"/>
        </w:rPr>
        <w:t>BAR ADMISSIONS</w:t>
      </w:r>
    </w:p>
    <w:p w:rsidR="001667DE" w:rsidRPr="001667DE" w:rsidRDefault="001667DE" w:rsidP="001667DE">
      <w:pPr>
        <w:spacing w:after="0" w:line="240" w:lineRule="auto"/>
        <w:rPr>
          <w:rFonts w:ascii="Arial" w:eastAsia="Times New Roman" w:hAnsi="Arial" w:cs="Arial"/>
          <w:color w:val="1A2C4D"/>
          <w:sz w:val="21"/>
          <w:szCs w:val="21"/>
        </w:rPr>
      </w:pPr>
      <w:r w:rsidRPr="001667DE">
        <w:rPr>
          <w:rFonts w:ascii="Arial" w:eastAsia="Times New Roman" w:hAnsi="Arial" w:cs="Arial"/>
          <w:color w:val="1A2C4D"/>
          <w:sz w:val="21"/>
          <w:szCs w:val="21"/>
        </w:rPr>
        <w:t>Iowa, 2006</w:t>
      </w:r>
    </w:p>
    <w:p w:rsidR="001667DE" w:rsidRDefault="001667DE" w:rsidP="001667DE">
      <w:pPr>
        <w:spacing w:after="0" w:line="240" w:lineRule="auto"/>
        <w:rPr>
          <w:rFonts w:ascii="Arial" w:eastAsia="Times New Roman" w:hAnsi="Arial" w:cs="Arial"/>
          <w:color w:val="1A2C4D"/>
          <w:sz w:val="21"/>
          <w:szCs w:val="21"/>
        </w:rPr>
      </w:pPr>
      <w:r w:rsidRPr="001667DE">
        <w:rPr>
          <w:rFonts w:ascii="Arial" w:eastAsia="Times New Roman" w:hAnsi="Arial" w:cs="Arial"/>
          <w:color w:val="1A2C4D"/>
          <w:sz w:val="21"/>
          <w:szCs w:val="21"/>
        </w:rPr>
        <w:t>Admitted to practice in all state, federal, and bankruptcy courts in Iowa and the Eighth Circuit Court of Appeals.</w:t>
      </w:r>
    </w:p>
    <w:p w:rsidR="00BE54D5" w:rsidRPr="001667DE" w:rsidRDefault="00BE54D5" w:rsidP="001667DE">
      <w:pPr>
        <w:spacing w:after="0" w:line="240" w:lineRule="auto"/>
        <w:rPr>
          <w:rFonts w:ascii="Arial" w:eastAsia="Times New Roman" w:hAnsi="Arial" w:cs="Arial"/>
          <w:color w:val="1A2C4D"/>
          <w:sz w:val="21"/>
          <w:szCs w:val="21"/>
        </w:rPr>
      </w:pPr>
    </w:p>
    <w:p w:rsidR="001667DE" w:rsidRPr="001667DE" w:rsidRDefault="001667DE" w:rsidP="001667DE">
      <w:pPr>
        <w:spacing w:after="0" w:line="240" w:lineRule="auto"/>
        <w:outlineLvl w:val="1"/>
        <w:rPr>
          <w:rFonts w:ascii="Arial" w:eastAsia="Times New Roman" w:hAnsi="Arial" w:cs="Arial"/>
          <w:caps/>
          <w:color w:val="1A2C4D"/>
          <w:sz w:val="32"/>
          <w:szCs w:val="32"/>
        </w:rPr>
      </w:pPr>
      <w:r w:rsidRPr="001667DE">
        <w:rPr>
          <w:rFonts w:ascii="Arial" w:eastAsia="Times New Roman" w:hAnsi="Arial" w:cs="Arial"/>
          <w:caps/>
          <w:color w:val="1A2C4D"/>
          <w:sz w:val="32"/>
          <w:szCs w:val="32"/>
        </w:rPr>
        <w:t>PROFESSIONAL EXPERIENCE</w:t>
      </w:r>
    </w:p>
    <w:p w:rsidR="001667DE" w:rsidRPr="001667DE" w:rsidRDefault="001667DE" w:rsidP="001667DE">
      <w:pPr>
        <w:spacing w:after="0" w:line="240" w:lineRule="auto"/>
        <w:rPr>
          <w:rFonts w:ascii="Arial" w:eastAsia="Times New Roman" w:hAnsi="Arial" w:cs="Arial"/>
          <w:color w:val="1A2C4D"/>
          <w:sz w:val="21"/>
          <w:szCs w:val="21"/>
        </w:rPr>
      </w:pPr>
      <w:r w:rsidRPr="001667DE">
        <w:rPr>
          <w:rFonts w:ascii="Arial" w:eastAsia="Times New Roman" w:hAnsi="Arial" w:cs="Arial"/>
          <w:color w:val="1A2C4D"/>
          <w:sz w:val="21"/>
          <w:szCs w:val="21"/>
        </w:rPr>
        <w:t xml:space="preserve">Intern, Hon. Ronald E. </w:t>
      </w:r>
      <w:proofErr w:type="spellStart"/>
      <w:r w:rsidRPr="001667DE">
        <w:rPr>
          <w:rFonts w:ascii="Arial" w:eastAsia="Times New Roman" w:hAnsi="Arial" w:cs="Arial"/>
          <w:color w:val="1A2C4D"/>
          <w:sz w:val="21"/>
          <w:szCs w:val="21"/>
        </w:rPr>
        <w:t>Longstaff</w:t>
      </w:r>
      <w:proofErr w:type="spellEnd"/>
      <w:r w:rsidRPr="001667DE">
        <w:rPr>
          <w:rFonts w:ascii="Arial" w:eastAsia="Times New Roman" w:hAnsi="Arial" w:cs="Arial"/>
          <w:color w:val="1A2C4D"/>
          <w:sz w:val="21"/>
          <w:szCs w:val="21"/>
        </w:rPr>
        <w:t>, United States District Court for the Southern District of Iowa</w:t>
      </w:r>
    </w:p>
    <w:p w:rsidR="001667DE" w:rsidRDefault="001667DE" w:rsidP="001667DE">
      <w:pPr>
        <w:spacing w:after="0" w:line="240" w:lineRule="auto"/>
        <w:rPr>
          <w:rFonts w:ascii="Arial" w:eastAsia="Times New Roman" w:hAnsi="Arial" w:cs="Arial"/>
          <w:color w:val="1A2C4D"/>
          <w:sz w:val="21"/>
          <w:szCs w:val="21"/>
        </w:rPr>
      </w:pPr>
      <w:r w:rsidRPr="001667DE">
        <w:rPr>
          <w:rFonts w:ascii="Arial" w:eastAsia="Times New Roman" w:hAnsi="Arial" w:cs="Arial"/>
          <w:color w:val="1A2C4D"/>
          <w:sz w:val="21"/>
          <w:szCs w:val="21"/>
        </w:rPr>
        <w:t>Clerk, Iowa Academy of Trial Lawyers</w:t>
      </w:r>
      <w:bookmarkStart w:id="0" w:name="_GoBack"/>
      <w:bookmarkEnd w:id="0"/>
    </w:p>
    <w:sectPr w:rsidR="00166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DE"/>
    <w:rsid w:val="001667DE"/>
    <w:rsid w:val="00316AE2"/>
    <w:rsid w:val="006319FF"/>
    <w:rsid w:val="006B0ADC"/>
    <w:rsid w:val="00BE54D5"/>
    <w:rsid w:val="00D02801"/>
    <w:rsid w:val="00DF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78FB"/>
  <w15:chartTrackingRefBased/>
  <w15:docId w15:val="{8015FC16-C15D-4A65-B699-4635EA78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7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667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667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667DE"/>
    <w:rPr>
      <w:color w:val="0000FF"/>
      <w:u w:val="single"/>
    </w:rPr>
  </w:style>
  <w:style w:type="character" w:customStyle="1" w:styleId="Heading1Char">
    <w:name w:val="Heading 1 Char"/>
    <w:basedOn w:val="DefaultParagraphFont"/>
    <w:link w:val="Heading1"/>
    <w:uiPriority w:val="9"/>
    <w:rsid w:val="001667DE"/>
    <w:rPr>
      <w:rFonts w:asciiTheme="majorHAnsi" w:eastAsiaTheme="majorEastAsia" w:hAnsiTheme="majorHAnsi" w:cstheme="majorBidi"/>
      <w:color w:val="2E74B5" w:themeColor="accent1" w:themeShade="BF"/>
      <w:sz w:val="32"/>
      <w:szCs w:val="32"/>
    </w:rPr>
  </w:style>
  <w:style w:type="character" w:customStyle="1" w:styleId="indentation">
    <w:name w:val="indentation"/>
    <w:basedOn w:val="DefaultParagraphFont"/>
    <w:rsid w:val="001667DE"/>
  </w:style>
  <w:style w:type="paragraph" w:styleId="PlainText">
    <w:name w:val="Plain Text"/>
    <w:basedOn w:val="Normal"/>
    <w:link w:val="PlainTextChar"/>
    <w:uiPriority w:val="99"/>
    <w:unhideWhenUsed/>
    <w:rsid w:val="00BE54D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E54D5"/>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35710">
      <w:bodyDiv w:val="1"/>
      <w:marLeft w:val="0"/>
      <w:marRight w:val="0"/>
      <w:marTop w:val="0"/>
      <w:marBottom w:val="0"/>
      <w:divBdr>
        <w:top w:val="none" w:sz="0" w:space="0" w:color="auto"/>
        <w:left w:val="none" w:sz="0" w:space="0" w:color="auto"/>
        <w:bottom w:val="none" w:sz="0" w:space="0" w:color="auto"/>
        <w:right w:val="none" w:sz="0" w:space="0" w:color="auto"/>
      </w:divBdr>
      <w:divsChild>
        <w:div w:id="347218388">
          <w:marLeft w:val="0"/>
          <w:marRight w:val="0"/>
          <w:marTop w:val="555"/>
          <w:marBottom w:val="0"/>
          <w:divBdr>
            <w:top w:val="none" w:sz="0" w:space="0" w:color="auto"/>
            <w:left w:val="none" w:sz="0" w:space="0" w:color="auto"/>
            <w:bottom w:val="none" w:sz="0" w:space="0" w:color="auto"/>
            <w:right w:val="none" w:sz="0" w:space="0" w:color="auto"/>
          </w:divBdr>
        </w:div>
        <w:div w:id="1573199175">
          <w:marLeft w:val="0"/>
          <w:marRight w:val="0"/>
          <w:marTop w:val="555"/>
          <w:marBottom w:val="0"/>
          <w:divBdr>
            <w:top w:val="none" w:sz="0" w:space="0" w:color="auto"/>
            <w:left w:val="none" w:sz="0" w:space="0" w:color="auto"/>
            <w:bottom w:val="none" w:sz="0" w:space="0" w:color="auto"/>
            <w:right w:val="none" w:sz="0" w:space="0" w:color="auto"/>
          </w:divBdr>
        </w:div>
      </w:divsChild>
    </w:div>
    <w:div w:id="976643394">
      <w:bodyDiv w:val="1"/>
      <w:marLeft w:val="0"/>
      <w:marRight w:val="0"/>
      <w:marTop w:val="0"/>
      <w:marBottom w:val="0"/>
      <w:divBdr>
        <w:top w:val="none" w:sz="0" w:space="0" w:color="auto"/>
        <w:left w:val="none" w:sz="0" w:space="0" w:color="auto"/>
        <w:bottom w:val="none" w:sz="0" w:space="0" w:color="auto"/>
        <w:right w:val="none" w:sz="0" w:space="0" w:color="auto"/>
      </w:divBdr>
      <w:divsChild>
        <w:div w:id="432870860">
          <w:marLeft w:val="0"/>
          <w:marRight w:val="0"/>
          <w:marTop w:val="0"/>
          <w:marBottom w:val="0"/>
          <w:divBdr>
            <w:top w:val="none" w:sz="0" w:space="0" w:color="auto"/>
            <w:left w:val="none" w:sz="0" w:space="0" w:color="auto"/>
            <w:bottom w:val="none" w:sz="0" w:space="0" w:color="auto"/>
            <w:right w:val="none" w:sz="0" w:space="0" w:color="auto"/>
          </w:divBdr>
          <w:divsChild>
            <w:div w:id="1302347996">
              <w:marLeft w:val="0"/>
              <w:marRight w:val="0"/>
              <w:marTop w:val="0"/>
              <w:marBottom w:val="0"/>
              <w:divBdr>
                <w:top w:val="none" w:sz="0" w:space="0" w:color="auto"/>
                <w:left w:val="none" w:sz="0" w:space="0" w:color="auto"/>
                <w:bottom w:val="none" w:sz="0" w:space="0" w:color="auto"/>
                <w:right w:val="none" w:sz="0" w:space="0" w:color="auto"/>
              </w:divBdr>
            </w:div>
            <w:div w:id="1493595384">
              <w:marLeft w:val="0"/>
              <w:marRight w:val="0"/>
              <w:marTop w:val="0"/>
              <w:marBottom w:val="0"/>
              <w:divBdr>
                <w:top w:val="none" w:sz="0" w:space="0" w:color="auto"/>
                <w:left w:val="none" w:sz="0" w:space="0" w:color="auto"/>
                <w:bottom w:val="none" w:sz="0" w:space="0" w:color="auto"/>
                <w:right w:val="none" w:sz="0" w:space="0" w:color="auto"/>
              </w:divBdr>
            </w:div>
            <w:div w:id="21102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2950">
      <w:bodyDiv w:val="1"/>
      <w:marLeft w:val="0"/>
      <w:marRight w:val="0"/>
      <w:marTop w:val="0"/>
      <w:marBottom w:val="0"/>
      <w:divBdr>
        <w:top w:val="none" w:sz="0" w:space="0" w:color="auto"/>
        <w:left w:val="none" w:sz="0" w:space="0" w:color="auto"/>
        <w:bottom w:val="none" w:sz="0" w:space="0" w:color="auto"/>
        <w:right w:val="none" w:sz="0" w:space="0" w:color="auto"/>
      </w:divBdr>
      <w:divsChild>
        <w:div w:id="1988510714">
          <w:marLeft w:val="0"/>
          <w:marRight w:val="0"/>
          <w:marTop w:val="0"/>
          <w:marBottom w:val="0"/>
          <w:divBdr>
            <w:top w:val="none" w:sz="0" w:space="0" w:color="auto"/>
            <w:left w:val="none" w:sz="0" w:space="0" w:color="auto"/>
            <w:bottom w:val="none" w:sz="0" w:space="0" w:color="auto"/>
            <w:right w:val="none" w:sz="0" w:space="0" w:color="auto"/>
          </w:divBdr>
          <w:divsChild>
            <w:div w:id="1667316686">
              <w:marLeft w:val="0"/>
              <w:marRight w:val="0"/>
              <w:marTop w:val="0"/>
              <w:marBottom w:val="0"/>
              <w:divBdr>
                <w:top w:val="none" w:sz="0" w:space="0" w:color="auto"/>
                <w:left w:val="none" w:sz="0" w:space="0" w:color="auto"/>
                <w:bottom w:val="none" w:sz="0" w:space="0" w:color="auto"/>
                <w:right w:val="none" w:sz="0" w:space="0" w:color="auto"/>
              </w:divBdr>
            </w:div>
            <w:div w:id="1609388136">
              <w:marLeft w:val="0"/>
              <w:marRight w:val="0"/>
              <w:marTop w:val="0"/>
              <w:marBottom w:val="0"/>
              <w:divBdr>
                <w:top w:val="none" w:sz="0" w:space="0" w:color="auto"/>
                <w:left w:val="none" w:sz="0" w:space="0" w:color="auto"/>
                <w:bottom w:val="none" w:sz="0" w:space="0" w:color="auto"/>
                <w:right w:val="none" w:sz="0" w:space="0" w:color="auto"/>
              </w:divBdr>
            </w:div>
            <w:div w:id="1386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2101">
      <w:bodyDiv w:val="1"/>
      <w:marLeft w:val="0"/>
      <w:marRight w:val="0"/>
      <w:marTop w:val="0"/>
      <w:marBottom w:val="0"/>
      <w:divBdr>
        <w:top w:val="none" w:sz="0" w:space="0" w:color="auto"/>
        <w:left w:val="none" w:sz="0" w:space="0" w:color="auto"/>
        <w:bottom w:val="none" w:sz="0" w:space="0" w:color="auto"/>
        <w:right w:val="none" w:sz="0" w:space="0" w:color="auto"/>
      </w:divBdr>
      <w:divsChild>
        <w:div w:id="2008172558">
          <w:marLeft w:val="0"/>
          <w:marRight w:val="0"/>
          <w:marTop w:val="0"/>
          <w:marBottom w:val="0"/>
          <w:divBdr>
            <w:top w:val="none" w:sz="0" w:space="0" w:color="auto"/>
            <w:left w:val="none" w:sz="0" w:space="0" w:color="auto"/>
            <w:bottom w:val="dotted" w:sz="6" w:space="19" w:color="B7C0D2"/>
            <w:right w:val="none" w:sz="0" w:space="0" w:color="auto"/>
          </w:divBdr>
        </w:div>
        <w:div w:id="1893493449">
          <w:marLeft w:val="0"/>
          <w:marRight w:val="0"/>
          <w:marTop w:val="0"/>
          <w:marBottom w:val="0"/>
          <w:divBdr>
            <w:top w:val="none" w:sz="0" w:space="0" w:color="auto"/>
            <w:left w:val="none" w:sz="0" w:space="0" w:color="auto"/>
            <w:bottom w:val="dotted" w:sz="6" w:space="4" w:color="B7C0D2"/>
            <w:right w:val="none" w:sz="0" w:space="0" w:color="auto"/>
          </w:divBdr>
        </w:div>
        <w:div w:id="1275791908">
          <w:marLeft w:val="0"/>
          <w:marRight w:val="0"/>
          <w:marTop w:val="0"/>
          <w:marBottom w:val="0"/>
          <w:divBdr>
            <w:top w:val="none" w:sz="0" w:space="0" w:color="auto"/>
            <w:left w:val="none" w:sz="0" w:space="0" w:color="auto"/>
            <w:bottom w:val="dotted" w:sz="6" w:space="4" w:color="B7C0D2"/>
            <w:right w:val="none" w:sz="0" w:space="0" w:color="auto"/>
          </w:divBdr>
        </w:div>
        <w:div w:id="244073236">
          <w:marLeft w:val="0"/>
          <w:marRight w:val="0"/>
          <w:marTop w:val="0"/>
          <w:marBottom w:val="0"/>
          <w:divBdr>
            <w:top w:val="none" w:sz="0" w:space="0" w:color="auto"/>
            <w:left w:val="none" w:sz="0" w:space="0" w:color="auto"/>
            <w:bottom w:val="none" w:sz="0" w:space="0" w:color="auto"/>
            <w:right w:val="none" w:sz="0" w:space="0" w:color="auto"/>
          </w:divBdr>
        </w:div>
      </w:divsChild>
    </w:div>
    <w:div w:id="18433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emaster.com/practice-areas/litigation/creditor-rights-and-bankrupt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yemaster.com/practice-areas/litigation/construction-and-real-estate-litig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emaster.com" TargetMode="External"/><Relationship Id="rId11" Type="http://schemas.openxmlformats.org/officeDocument/2006/relationships/hyperlink" Target="https://www.nyemaster.com/practice-areas/litigation/business-and-commercial-litigation" TargetMode="External"/><Relationship Id="rId5" Type="http://schemas.openxmlformats.org/officeDocument/2006/relationships/hyperlink" Target="mailto:kmstanger@nyemaster.com" TargetMode="External"/><Relationship Id="rId10" Type="http://schemas.openxmlformats.org/officeDocument/2006/relationships/hyperlink" Target="https://www.nyemaster.com/practice-areas/litigation/banks-and-financial-institution-litigation" TargetMode="External"/><Relationship Id="rId4" Type="http://schemas.openxmlformats.org/officeDocument/2006/relationships/image" Target="media/image1.jpg"/><Relationship Id="rId9" Type="http://schemas.openxmlformats.org/officeDocument/2006/relationships/hyperlink" Target="https://www.nyemaster.com/practice-areas/li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486</Words>
  <Characters>2563</Characters>
  <Application>Microsoft Office Word</Application>
  <DocSecurity>0</DocSecurity>
  <Lines>59</Lines>
  <Paragraphs>17</Paragraphs>
  <ScaleCrop>false</ScaleCrop>
  <Company>Nyemaster Goode, P.C.</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 Stanger</dc:creator>
  <cp:keywords/>
  <dc:description/>
  <cp:lastModifiedBy>Kristina M. Stanger</cp:lastModifiedBy>
  <cp:revision>2</cp:revision>
  <dcterms:created xsi:type="dcterms:W3CDTF">2019-08-30T19:18:00Z</dcterms:created>
  <dcterms:modified xsi:type="dcterms:W3CDTF">2019-08-30T19:26:00Z</dcterms:modified>
</cp:coreProperties>
</file>