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Carl Lingel is an asset to the Des Moines business community.  I first encountered Carl in 2006 while he was running Employer Ease with Jim Goodman.  I’ve watched Carl develop his marketing, management, and networking skills over the last several years to include a very well rounded skill set.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Carl’s experience with benefit administration has greatly helped our company improve processes; his leadership and sales skills around his own office are a model I strive to follow.  I enjoy hearing tales about his wife, Steph, who is an accomplished equestrian, and his toddler daughter, Isabella when we cross paths outside of our professional lives.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 a member of the East Des Moines Chamber, I’m always impressed by his leadership in his role as president.  I’ve not personally had exposure to his other community roles, but know that he is valued at Home Care Services of Dallas County as he’s been on their board for as long as I can remember.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Carl is a highly efficient yet caring professional.  I always look forward to his company and value his input when we can sit down to problem solve together.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TJ Vance</w:t>
      </w:r>
    </w:p>
    <w:p w:rsidR="00000000" w:rsidDel="00000000" w:rsidP="00000000" w:rsidRDefault="00000000" w:rsidRPr="00000000">
      <w:pPr>
        <w:contextualSpacing w:val="0"/>
      </w:pPr>
      <w:r w:rsidDel="00000000" w:rsidR="00000000" w:rsidRPr="00000000">
        <w:rPr>
          <w:rtl w:val="0"/>
        </w:rPr>
        <w:t xml:space="preserve">President, VanceCoffman Computing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